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"/>
          <w:color w:val="00000A"/>
          <w:lang w:val="uk-UA" w:eastAsia="uk-UA" w:bidi="ar-SA"/>
        </w:rPr>
      </w:pPr>
      <w:r>
        <w:rPr>
          <w:rFonts w:ascii="Times New Roman" w:hAnsi="Times New Roman"/>
          <w:b/>
          <w:bCs/>
          <w:sz w:val="24"/>
          <w:szCs w:val="24"/>
        </w:rPr>
        <w:t>Конкурсне випробування тестування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Основи  здоров</w:t>
      </w:r>
      <w:r>
        <w:rPr>
          <w:rFonts w:cs="Times New Roman" w:ascii="Times New Roman" w:hAnsi="Times New Roman"/>
          <w:b/>
          <w:bCs/>
          <w:sz w:val="24"/>
          <w:szCs w:val="24"/>
        </w:rPr>
        <w:t>ʼ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" w:cs=""/>
          <w:color w:val="00000A"/>
          <w:lang w:val="uk-UA" w:eastAsia="uk-UA" w:bidi="ar-SA"/>
        </w:rPr>
      </w:pPr>
      <w:r>
        <w:rPr>
          <w:color w:val="00000A"/>
          <w:sz w:val="22"/>
        </w:rPr>
      </w:r>
      <w:r/>
    </w:p>
    <w:p>
      <w:pPr>
        <w:pStyle w:val="Normal"/>
        <w:spacing w:lineRule="auto" w:line="240" w:before="0" w:after="0"/>
        <w:rPr>
          <w:sz w:val="25"/>
          <w:b/>
          <w:sz w:val="25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Оберіть фактори, які впливають на здоров’я населення України:</w:t>
      </w:r>
      <w:r/>
    </w:p>
    <w:p>
      <w:pPr>
        <w:pStyle w:val="Normal"/>
        <w:spacing w:lineRule="auto" w:line="240" w:before="0" w:after="0"/>
        <w:rPr>
          <w:sz w:val="25"/>
          <w:sz w:val="25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незбалансоване економічне зростання;</w:t>
      </w:r>
      <w:r/>
    </w:p>
    <w:p>
      <w:pPr>
        <w:pStyle w:val="Normal"/>
        <w:spacing w:lineRule="auto" w:line="240" w:before="0" w:after="0"/>
        <w:rPr>
          <w:sz w:val="25"/>
          <w:sz w:val="25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політична нестабільність;</w:t>
      </w:r>
      <w:r/>
    </w:p>
    <w:p>
      <w:pPr>
        <w:pStyle w:val="Normal"/>
        <w:spacing w:lineRule="auto" w:line="240" w:before="0" w:after="0"/>
        <w:rPr>
          <w:sz w:val="25"/>
          <w:sz w:val="25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економічна криза;</w:t>
      </w:r>
      <w:r/>
    </w:p>
    <w:p>
      <w:pPr>
        <w:pStyle w:val="Normal"/>
        <w:spacing w:lineRule="auto" w:line="240" w:before="0" w:after="0"/>
        <w:rPr>
          <w:sz w:val="25"/>
          <w:sz w:val="25"/>
          <w:szCs w:val="28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техногенне забруднення навколишнього середовища.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Який чинник має найбільший вплив на здоров’я: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ab/>
        <w:t>а)</w:t>
        <w:tab/>
        <w:t>доступність і якість медичних послуг;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ab/>
        <w:t>б)</w:t>
        <w:tab/>
        <w:t>стан довкілля;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ab/>
        <w:t>в)</w:t>
        <w:tab/>
        <w:t>спосіб життя людей;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ab/>
        <w:t>г)</w:t>
        <w:tab/>
        <w:t>спадковість.</w:t>
      </w:r>
      <w:r/>
    </w:p>
    <w:p>
      <w:pPr>
        <w:pStyle w:val="ListParagraph"/>
        <w:spacing w:lineRule="auto" w:line="240" w:before="0" w:after="0"/>
        <w:ind w:left="0" w:hanging="0"/>
        <w:jc w:val="both"/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Найнебезпечнішими для здоров’я є жири, які містяться:</w:t>
      </w:r>
      <w:r/>
    </w:p>
    <w:p>
      <w:pPr>
        <w:pStyle w:val="ListParagraph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а) </w:t>
        <w:tab/>
        <w:t>у вершковому маслі;</w:t>
      </w:r>
      <w:r/>
    </w:p>
    <w:p>
      <w:pPr>
        <w:pStyle w:val="ListParagraph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>б)</w:t>
        <w:tab/>
        <w:t xml:space="preserve"> соняшниковій олії;</w:t>
      </w:r>
      <w:r/>
    </w:p>
    <w:p>
      <w:pPr>
        <w:pStyle w:val="ListParagraph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в) </w:t>
        <w:tab/>
        <w:t>маргаринах;</w:t>
      </w:r>
      <w:r/>
    </w:p>
    <w:p>
      <w:pPr>
        <w:pStyle w:val="ListParagraph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г) </w:t>
        <w:tab/>
        <w:t>горіхах.</w:t>
      </w:r>
      <w:r/>
    </w:p>
    <w:p>
      <w:pPr>
        <w:pStyle w:val="ListParagraph"/>
        <w:spacing w:lineRule="auto" w:line="240" w:before="0" w:after="0"/>
        <w:ind w:left="0" w:hanging="0"/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>Складові здоров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br/>
        <w:tab/>
        <w:t xml:space="preserve">а) </w:t>
        <w:tab/>
        <w:t>не пов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язані одна з одною;</w:t>
      </w:r>
      <w:r/>
    </w:p>
    <w:p>
      <w:pPr>
        <w:pStyle w:val="ListParagraph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>б)</w:t>
        <w:tab/>
        <w:t>пов’язані фізична і психічна складові;</w:t>
      </w:r>
      <w:r/>
    </w:p>
    <w:p>
      <w:pPr>
        <w:pStyle w:val="ListParagraph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 xml:space="preserve">в) </w:t>
        <w:tab/>
        <w:t>пов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язані соціальна і духовна складові;</w:t>
        <w:br/>
        <w:t xml:space="preserve">г) </w:t>
        <w:tab/>
        <w:t>пов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язані одна з одною і взаємовпливають одна на одну.</w:t>
      </w:r>
      <w:r/>
    </w:p>
    <w:p>
      <w:pPr>
        <w:pStyle w:val="ListParagraph"/>
        <w:spacing w:lineRule="auto" w:line="240" w:before="0" w:after="0"/>
        <w:ind w:left="0" w:hanging="0"/>
        <w:jc w:val="both"/>
      </w:pPr>
      <w:r>
        <w:rPr>
          <w:rFonts w:ascii="Times New Roman" w:hAnsi="Times New Roman"/>
          <w:b/>
          <w:bCs/>
          <w:sz w:val="24"/>
          <w:szCs w:val="24"/>
        </w:rPr>
        <w:t>5.</w:t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Методи навчання, що використовуються у процесі вивчення основ здоров’я, базуються на спілкуванні як життєвій потребі людини, передбачають взаємонавчання та різні способи взаємодії суб’єктів навчання, називаються: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ar-SA"/>
        </w:rPr>
        <w:tab/>
        <w:t>а)</w:t>
        <w:tab/>
        <w:t>комунікативні;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ascii="Times New Roman" w:hAnsi="Times New Roman"/>
          <w:color w:val="000000"/>
          <w:sz w:val="24"/>
          <w:szCs w:val="24"/>
          <w:lang w:eastAsia="ar-SA"/>
        </w:rPr>
        <w:tab/>
        <w:t>б)</w:t>
        <w:tab/>
        <w:t>активні;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ascii="Times New Roman" w:hAnsi="Times New Roman"/>
          <w:color w:val="000000"/>
          <w:sz w:val="24"/>
          <w:szCs w:val="24"/>
          <w:lang w:eastAsia="ar-SA"/>
        </w:rPr>
        <w:tab/>
        <w:t>в)</w:t>
        <w:tab/>
        <w:t>інтерактивні;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ascii="Times New Roman" w:hAnsi="Times New Roman"/>
          <w:color w:val="000000"/>
          <w:sz w:val="24"/>
          <w:szCs w:val="24"/>
          <w:lang w:eastAsia="ar-SA"/>
        </w:rPr>
        <w:tab/>
        <w:t>г)</w:t>
        <w:tab/>
        <w:t>інформаційні.</w:t>
      </w:r>
      <w:r/>
    </w:p>
    <w:p>
      <w:pPr>
        <w:pStyle w:val="Normal"/>
        <w:spacing w:lineRule="auto" w:line="240" w:before="0" w:after="0"/>
        <w:jc w:val="both"/>
      </w:pPr>
      <w:r>
        <w:rPr>
          <w:b/>
          <w:bCs/>
          <w:sz w:val="24"/>
          <w:szCs w:val="24"/>
        </w:rPr>
        <w:t>6.</w:t>
        <w:tab/>
      </w:r>
      <w:r>
        <w:rPr>
          <w:rFonts w:ascii="Times New Roman" w:hAnsi="Times New Roman"/>
          <w:b/>
          <w:bCs/>
          <w:sz w:val="24"/>
          <w:szCs w:val="24"/>
        </w:rPr>
        <w:t>Які  ознаки свідчать про рівень здоров’я, що має назву “порушення адаптації”: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а)</w:t>
        <w:tab/>
        <w:t>зниження тонусу;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хронічна втома;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наявність хронічних захворювань;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метеочутливість.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7.</w:t>
        <w:tab/>
        <w:t>До позитивних наслідків науково-технічного прогресу належать: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забруднення довкілля;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мобільний зв’язок, Інтернет;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глобальне потепління;</w:t>
        <w:tab/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створення ядерної зброї.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8.</w:t>
        <w:tab/>
        <w:t>В якому році прийнята конвенція ООН про права дитини: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20 листопада 1957 р.;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20 листопада 1987 р.;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20 листопада 1989 р.;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2 вересня 1990 р.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9.</w:t>
        <w:tab/>
        <w:t>Яка наука дає таке визначення поняттю “життя”: “Життя — це активна форма існування матерії, характерною рисою якої є обмін речовин, самооновлення та самовідтворення”: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біологія;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фізика;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хімія;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географія.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10.</w:t>
        <w:tab/>
        <w:t>Продуктів якої харчової групи має бути найбільше в раціоні: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фрукти та овочі;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зернові продукти;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м’ясо і рослинні білки;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молочні продукти.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11.</w:t>
        <w:tab/>
        <w:t>Які продукти особливо багаті на клітковину (харчові волокна):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молочні продукти;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зелені овочі;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вироби з цільного зерна;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солодощі.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12.</w:t>
        <w:tab/>
        <w:t>При переході дороги безпечною для пішохода вважається відстань до автомобіля, що рухається: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10 м.;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20 м.;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30 м.;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50 м.;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д)</w:t>
        <w:tab/>
        <w:t>40 м.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13.</w:t>
        <w:tab/>
        <w:t>Евакуація населення проводиться за: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виробничим принципом;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територіальним принципом;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територіально-виробничим принципом;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немає вірної відповіді.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14.</w:t>
        <w:tab/>
        <w:t>Тематика “Дорожня безпека”  належить  до тематичного блоку: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Фізичне здоров’я;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Соціальне здоров’я;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Життя і здоров’я;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Психічне та духовне здоров’я.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15.</w:t>
        <w:tab/>
        <w:t>Оберіть тематики, які належать до тематичного блоку “Фізичне здоров’я”: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ефективне спілкування;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дорожня безпека;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уміння вчитися;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раціональне харчування.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16.</w:t>
        <w:tab/>
        <w:t>До засобів індивідуального захисту відносяться: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засоби захисту органів дихання, засоби захисту шкіри, медичні засоби захисту;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засоби захисту органів дихання, медичні засоби захисту;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засоби захисту органів дихання, засоби захисту шкіри;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немає вірної відповіді.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17.</w:t>
        <w:tab/>
        <w:t>Впровадження здоров’язберігаючих технологій потребує: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недопускання перевантаження учнів;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врахування інтелектуальних та фізіологічних особливостей учнів, індивідуальних мовних особливостей кожного учня;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визначення оптимального обсягу навчальної інформації й способи її надання;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всі відповіді вірні.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18.</w:t>
        <w:tab/>
        <w:t>Для досягнення максимальної ефективності уроку, вчителю необхідно: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ознайомитися з сучасною концепцією здоров’я, безпеки і розвитку, принципами навчання на засадах засвоєння життєвих навичок;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оволодіти сучасними педагогічними методиками, передусім, інтерактивними і тренінговими формами групової роботи;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використовувати якісні навчально-методичні матеріали і достовірну додаткову інформацію;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усі відповіді вірні.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19.</w:t>
        <w:tab/>
        <w:t>Здоров’язберігаючі технології передбачають: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групової й парної форм роботи, які сприяють підвищенню рухової активності, вчать вмінню поважати думки інших, висловлювати власні думки, правилам спілкування;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зміну видів діяльності, чергування інтелектуальної, емоційної, рухової видів діяльності;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передача учнівській аудиторії науково-практичної інформації;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проведення ігор та ігрових ситуацій, нестандартних уроків, інтегрованих уроків.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20.</w:t>
        <w:tab/>
        <w:t>Хмарні технології – це: 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 xml:space="preserve"> складні, не до кінця зрозумілі (захмарені) інноваційні технології;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 xml:space="preserve"> педагогічні технології, що дозволяють результативно вивчати природні явища, зокрема, властивості хмар на небі;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в) технології, які надають користувачам Інтернету доступ до комп’ютерних ресурсів сервера і використання програмного забезпечення як онлайн-сервіса;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 технології взаємодії кількох користувачів соціальних мереж (електронна пошта, спілкування за допомогою веб-камери в режимі онлайн тощо).</w:t>
      </w:r>
      <w:r/>
    </w:p>
    <w:p>
      <w:pPr>
        <w:pStyle w:val="Normal"/>
        <w:spacing w:lineRule="atLeast" w:line="405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21.</w:t>
        <w:tab/>
        <w:t xml:space="preserve"> Портфоліо – це: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 xml:space="preserve"> відгук, висновок про чию-небудь трудову й громадську діяльність;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 xml:space="preserve"> спосіб фіксування, накопичення, оцінки і самооцінки особистих досягнень;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 xml:space="preserve"> коротке узагальнення найважливіших відомостей про особу.</w:t>
      </w:r>
      <w:r/>
    </w:p>
    <w:p>
      <w:pPr>
        <w:pStyle w:val="Normal"/>
        <w:spacing w:lineRule="auto" w:line="240" w:before="0"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 xml:space="preserve"> оцінка досягнень за певний проміжок часу.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22.</w:t>
        <w:tab/>
        <w:t>Назвіть визначальний фактор вибору методів навчання: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мета навчання;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вікові особливості учнів;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рівень розвитку пізнавальної активності та самостійності учнів;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матеріально-технічна  оснащеність навчального процесу.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23.</w:t>
        <w:tab/>
        <w:t>Укажіть групу методів навчання, які застосовують для безпосереднього самостійного пізнання дійсності, поглиблення знань, формування вмінь та навичок: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словесні;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наочні;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практичні;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ілюстративні.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24.</w:t>
        <w:tab/>
        <w:t>До ключових компетентностей Нової української школи належить: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Екологічна безпека і сталий розвиток;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Математична грамотність;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Здоров’я і безпека;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Підприємливість і фінансова грамотність.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25.</w:t>
        <w:tab/>
        <w:t>Оберіть правильний варіант відповіді, який характеризує складові духовного розвитку: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а)</w:t>
        <w:tab/>
        <w:t>розвинуте критичне мислення;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б)</w:t>
        <w:tab/>
        <w:t>самопізнання;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в)</w:t>
        <w:tab/>
        <w:t>самовдосконалення;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4"/>
          <w:szCs w:val="24"/>
        </w:rPr>
        <w:tab/>
        <w:t>г)</w:t>
        <w:tab/>
        <w:t>всі відповіді вірні.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26.</w:t>
        <w:tab/>
        <w:t>Визначте ступінь опіку для якого характерні ознаки: опіки болючі, спричиняють набряк, з’я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вляються пухирі різної величини наповнені рідиною: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І ступінь;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ІІ ступінь;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ІІІ ступінь;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ІV ступінь.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27.</w:t>
        <w:tab/>
        <w:t>Ситуації, в яких існує високий ризик інфікування ВІЛ, це: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спільно користуватися посудом;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робити ін’єкції одним шприцом;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користуватися громадськими вбиральнями;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їздити у переповненому транспорті.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28.</w:t>
        <w:tab/>
        <w:t>Співвідношення білків, жирів, вуглеводів, вітамінів та мінеральних речовин, що містяться у 100 г продукту, це: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енергетична цінність продукту;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харчова цінність продукту.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29.</w:t>
        <w:tab/>
        <w:t>Згідно з “Пірамідою навчання”, найефективнішим є наступний метод: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лекція;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групова дискусія;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читання;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навчання інших.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30.</w:t>
        <w:tab/>
        <w:t>Чинники, які впливають на формування особистості: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а)</w:t>
        <w:tab/>
        <w:t>середовище, виховання, навчання;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б)</w:t>
        <w:tab/>
        <w:t>спадковість, виховання;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в)</w:t>
        <w:tab/>
        <w:t>спадковість, середовище, виховання;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г)</w:t>
        <w:tab/>
        <w:t>немає правильної відповіді.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" w:cs=""/>
          <w:color w:val="00000A"/>
          <w:lang w:val="uk-UA" w:eastAsia="uk-UA" w:bidi="ar-SA"/>
        </w:rPr>
      </w:pPr>
      <w:r>
        <w:rPr>
          <w:rFonts w:ascii="Times New Roman" w:hAnsi="Times New Roman"/>
          <w:color w:val="00000A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" w:cs=""/>
          <w:color w:val="00000A"/>
          <w:lang w:val="uk-UA" w:eastAsia="uk-UA" w:bidi="ar-SA"/>
        </w:rPr>
      </w:pPr>
      <w:r>
        <w:rPr>
          <w:rFonts w:ascii="Times New Roman" w:hAnsi="Times New Roman"/>
          <w:color w:val="00000A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" w:cs=""/>
          <w:color w:val="00000A"/>
          <w:lang w:val="uk-UA" w:eastAsia="uk-UA" w:bidi="ar-SA"/>
        </w:rPr>
      </w:pPr>
      <w:r>
        <w:rPr>
          <w:rFonts w:ascii="Times New Roman" w:hAnsi="Times New Roman"/>
          <w:color w:val="00000A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uk-UA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eastAsia="ar-SA"/>
        </w:rPr>
      </w:r>
      <w:r/>
    </w:p>
    <w:p>
      <w:pPr>
        <w:pStyle w:val="ListParagraph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Конкурсне випробування “Практична робота”</w:t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Ознаки психологічної рівноваги.</w:t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Чинники  стресу  і  виживання в  екстремальних ситуаціях.</w:t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  <w:r/>
    </w:p>
    <w:p>
      <w:pPr>
        <w:pStyle w:val="ListParagraph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Способи конструктивного   розв’язання  конфліктів.</w:t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4A4A4A"/>
          <w:lang w:val="uk-UA" w:eastAsia="uk-UA" w:bidi="ar-SA"/>
        </w:rPr>
      </w:pPr>
      <w:r>
        <w:rPr>
          <w:rFonts w:eastAsia="Times New Roman" w:cs="Times New Roman"/>
          <w:color w:val="4A4A4A"/>
          <w:sz w:val="24"/>
          <w:szCs w:val="24"/>
          <w:u w:val="single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>
          <w:rFonts w:eastAsia="Times New Roman" w:cs="Times New Roman"/>
          <w:color w:val="00000A"/>
          <w:sz w:val="24"/>
          <w:szCs w:val="24"/>
        </w:rPr>
      </w:r>
      <w:r/>
    </w:p>
    <w:p>
      <w:pPr>
        <w:pStyle w:val="Font8"/>
        <w:spacing w:before="0" w:after="0"/>
        <w:ind w:left="120" w:hanging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uk-UA" w:eastAsia="uk-UA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850" w:header="708" w:top="850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5"/>
          <w:numPr>
            <w:ilvl w:val="0"/>
            <w:numId w:val="0"/>
          </w:numPr>
          <w:jc w:val="center"/>
          <w:rPr>
            <w:sz w:val="22"/>
            <w:sz w:val="22"/>
            <w:szCs w:val="22"/>
            <w:rFonts w:ascii="Calibri" w:hAnsi="Calibri" w:eastAsia="" w:cs=""/>
            <w:color w:val="00000A"/>
            <w:lang w:val="uk-UA" w:eastAsia="uk-UA" w:bidi="ar-SA"/>
          </w:rPr>
        </w:pPr>
        <w:r>
          <w:rPr>
            <w:color w:val="00000A"/>
            <w:sz w:val="22"/>
          </w:rPr>
        </w:r>
        <w:r/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76e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uiPriority w:val="99"/>
    <w:semiHidden/>
    <w:rsid w:val="00c14529"/>
    <w:rPr/>
  </w:style>
  <w:style w:type="character" w:styleId="Style15" w:customStyle="1">
    <w:name w:val="Нижний колонтитул Знак"/>
    <w:basedOn w:val="DefaultParagraphFont"/>
    <w:uiPriority w:val="99"/>
    <w:rsid w:val="00c14529"/>
    <w:rPr/>
  </w:style>
  <w:style w:type="character" w:styleId="Style16" w:customStyle="1">
    <w:name w:val="Текст выноски Знак"/>
    <w:basedOn w:val="DefaultParagraphFont"/>
    <w:link w:val="ad"/>
    <w:uiPriority w:val="99"/>
    <w:semiHidden/>
    <w:rsid w:val="00e8034f"/>
    <w:rPr>
      <w:rFonts w:ascii="Segoe UI" w:hAnsi="Segoe UI" w:cs="Segoe UI"/>
      <w:color w:val="00000A"/>
      <w:sz w:val="18"/>
      <w:szCs w:val="18"/>
    </w:rPr>
  </w:style>
  <w:style w:type="character" w:styleId="Style17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ohit Hindi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ohit Hindi"/>
    </w:rPr>
  </w:style>
  <w:style w:type="paragraph" w:styleId="Style23">
    <w:name w:val="Заглав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c14529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Font8" w:customStyle="1">
    <w:name w:val="font_8"/>
    <w:basedOn w:val="Normal"/>
    <w:rsid w:val="00c1452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Верхний колонтитул"/>
    <w:basedOn w:val="Normal"/>
    <w:uiPriority w:val="99"/>
    <w:semiHidden/>
    <w:unhideWhenUsed/>
    <w:rsid w:val="00c14529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uiPriority w:val="99"/>
    <w:unhideWhenUsed/>
    <w:rsid w:val="00c14529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rsid w:val="00e803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15307</TotalTime>
  <Application>LibreOffice/4.3.4.1$Linux_X86_64 LibreOffice_project/430m0$Build-1</Application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2018-12-04T13:38:00Z</dcterms:created>
  <dc:creator>user</dc:creator>
  <dc:language>ru-RU</dc:language>
  <cp:lastPrinted>2018-12-21T11:31:00Z</cp:lastPrinted>
  <dcterms:modified xsi:type="dcterms:W3CDTF">2019-01-03T15:19:42Z</dcterms:modified>
  <cp:revision>59</cp:revision>
</cp:coreProperties>
</file>